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18CCA352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50A5A">
        <w:rPr>
          <w:b/>
          <w:bCs/>
          <w:sz w:val="24"/>
          <w:szCs w:val="24"/>
        </w:rPr>
        <w:t>10</w:t>
      </w:r>
      <w:r w:rsidR="009A4B1E">
        <w:rPr>
          <w:b/>
          <w:bCs/>
          <w:sz w:val="24"/>
          <w:szCs w:val="24"/>
        </w:rPr>
        <w:t>.0</w:t>
      </w:r>
      <w:r w:rsidR="008A5731">
        <w:rPr>
          <w:b/>
          <w:bCs/>
          <w:sz w:val="24"/>
          <w:szCs w:val="24"/>
        </w:rPr>
        <w:t>9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8A5731">
        <w:rPr>
          <w:b/>
          <w:bCs/>
          <w:sz w:val="24"/>
          <w:szCs w:val="24"/>
        </w:rPr>
        <w:t>41</w:t>
      </w:r>
      <w:r w:rsidR="009A4B1E">
        <w:rPr>
          <w:b/>
          <w:bCs/>
          <w:sz w:val="24"/>
          <w:szCs w:val="24"/>
        </w:rPr>
        <w:t>-</w:t>
      </w:r>
      <w:r w:rsidR="008A5731">
        <w:rPr>
          <w:b/>
          <w:bCs/>
          <w:sz w:val="24"/>
          <w:szCs w:val="24"/>
        </w:rPr>
        <w:t>4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67E3BAAD" w14:textId="4923F3CD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Detailplaneeringu koostamise eesmärk on kinnistu jagamine </w:t>
      </w:r>
      <w:r w:rsidR="008A5731">
        <w:rPr>
          <w:sz w:val="24"/>
          <w:szCs w:val="24"/>
        </w:rPr>
        <w:t>seitsmeks</w:t>
      </w:r>
      <w:r>
        <w:rPr>
          <w:sz w:val="24"/>
          <w:szCs w:val="24"/>
        </w:rPr>
        <w:t xml:space="preserve"> elamumaa</w:t>
      </w:r>
      <w:r w:rsidR="008A5731">
        <w:rPr>
          <w:sz w:val="24"/>
          <w:szCs w:val="24"/>
        </w:rPr>
        <w:t>, üheks tootmismaa ja üheks transpordimaa</w:t>
      </w:r>
      <w:r>
        <w:rPr>
          <w:sz w:val="24"/>
          <w:szCs w:val="24"/>
        </w:rPr>
        <w:t xml:space="preserve"> sihtotstarbega katastriüksuseks ja ehitusõiguse määramine. Planeeringuga kavandatakse uuele hoonestamata katastriüksusele üks üksikelamu ja kuni kaks abihoonet. Veevarustus planeeritakse rajatavast puurkaevus ning reovesi lahendatakse lokaalselt oma katastriüksusel. Parkimine lahendatakse katastriüksusel. </w:t>
      </w:r>
    </w:p>
    <w:p w14:paraId="7F2B0B79" w14:textId="68CBE07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1F73B9">
      <w:pPr>
        <w:jc w:val="both"/>
        <w:rPr>
          <w:sz w:val="24"/>
          <w:szCs w:val="24"/>
        </w:rPr>
      </w:pPr>
      <w:hyperlink r:id="rId7">
        <w:r w:rsidR="00BD7D5B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25B5"/>
    <w:rsid w:val="001F73B9"/>
    <w:rsid w:val="003C6280"/>
    <w:rsid w:val="003D338F"/>
    <w:rsid w:val="00412821"/>
    <w:rsid w:val="005C106A"/>
    <w:rsid w:val="005C63DA"/>
    <w:rsid w:val="0065498D"/>
    <w:rsid w:val="006D55A5"/>
    <w:rsid w:val="00764001"/>
    <w:rsid w:val="00773D2A"/>
    <w:rsid w:val="007E2CD1"/>
    <w:rsid w:val="008A5731"/>
    <w:rsid w:val="009A4B1E"/>
    <w:rsid w:val="009B77EB"/>
    <w:rsid w:val="00A2150B"/>
    <w:rsid w:val="00BD7D5B"/>
    <w:rsid w:val="00BF1BDA"/>
    <w:rsid w:val="00C672E3"/>
    <w:rsid w:val="00DD0734"/>
    <w:rsid w:val="00E20DF9"/>
    <w:rsid w:val="00E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2024-09-09T11:35:00Z</dcterms:created>
  <dcterms:modified xsi:type="dcterms:W3CDTF">2024-09-10T10:53:00Z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